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FCA" w:rsidRPr="001B2FCA" w:rsidRDefault="001B2FCA" w:rsidP="001B2F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0"/>
          <w:szCs w:val="40"/>
          <w:bdr w:val="none" w:sz="0" w:space="0" w:color="auto" w:frame="1"/>
        </w:rPr>
      </w:pPr>
      <w:r w:rsidRPr="001B2FCA">
        <w:rPr>
          <w:rFonts w:ascii="Arial" w:eastAsia="Times New Roman" w:hAnsi="Arial" w:cs="Arial"/>
          <w:b/>
          <w:color w:val="FF0000"/>
          <w:sz w:val="40"/>
          <w:szCs w:val="40"/>
          <w:bdr w:val="none" w:sz="0" w:space="0" w:color="auto" w:frame="1"/>
        </w:rPr>
        <w:t>C</w:t>
      </w:r>
      <w:bookmarkStart w:id="0" w:name="_GoBack"/>
      <w:bookmarkEnd w:id="0"/>
      <w:r w:rsidRPr="001B2FCA">
        <w:rPr>
          <w:rFonts w:ascii="Arial" w:eastAsia="Times New Roman" w:hAnsi="Arial" w:cs="Arial"/>
          <w:b/>
          <w:color w:val="FF0000"/>
          <w:sz w:val="40"/>
          <w:szCs w:val="40"/>
          <w:bdr w:val="none" w:sz="0" w:space="0" w:color="auto" w:frame="1"/>
        </w:rPr>
        <w:t>ÁC NGHỊ ĐỊNH VỀ AN TOÀN THỰC PHẨM</w:t>
      </w:r>
    </w:p>
    <w:p w:rsidR="001B2FCA" w:rsidRPr="001B2FCA" w:rsidRDefault="001B2FCA" w:rsidP="001B2F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9"/>
          <w:szCs w:val="29"/>
        </w:rPr>
      </w:pPr>
      <w:r w:rsidRPr="001B2FCA">
        <w:rPr>
          <w:rFonts w:ascii="Arial" w:eastAsia="Times New Roman" w:hAnsi="Arial" w:cs="Arial"/>
          <w:color w:val="0A0A0A"/>
          <w:sz w:val="29"/>
          <w:szCs w:val="29"/>
          <w:bdr w:val="none" w:sz="0" w:space="0" w:color="auto" w:frame="1"/>
        </w:rPr>
        <w:t>Hiện nay </w:t>
      </w:r>
      <w:r w:rsidRPr="001B2FCA">
        <w:rPr>
          <w:rFonts w:ascii="Arial" w:eastAsia="Times New Roman" w:hAnsi="Arial" w:cs="Arial"/>
          <w:b/>
          <w:bCs/>
          <w:color w:val="0A0A0A"/>
          <w:sz w:val="29"/>
          <w:szCs w:val="29"/>
        </w:rPr>
        <w:t>an toàn</w:t>
      </w:r>
      <w:r w:rsidRPr="001B2FCA">
        <w:rPr>
          <w:rFonts w:ascii="Arial" w:eastAsia="Times New Roman" w:hAnsi="Arial" w:cs="Arial"/>
          <w:color w:val="0A0A0A"/>
          <w:sz w:val="29"/>
          <w:szCs w:val="29"/>
        </w:rPr>
        <w:t> </w:t>
      </w:r>
      <w:r w:rsidRPr="001B2FCA">
        <w:rPr>
          <w:rFonts w:ascii="Arial" w:eastAsia="Times New Roman" w:hAnsi="Arial" w:cs="Arial"/>
          <w:b/>
          <w:bCs/>
          <w:color w:val="0A0A0A"/>
          <w:sz w:val="29"/>
          <w:szCs w:val="29"/>
        </w:rPr>
        <w:t>thực phẩm</w:t>
      </w:r>
      <w:r w:rsidRPr="001B2FCA">
        <w:rPr>
          <w:rFonts w:ascii="Arial" w:eastAsia="Times New Roman" w:hAnsi="Arial" w:cs="Arial"/>
          <w:color w:val="0A0A0A"/>
          <w:sz w:val="29"/>
          <w:szCs w:val="29"/>
          <w:bdr w:val="none" w:sz="0" w:space="0" w:color="auto" w:frame="1"/>
        </w:rPr>
        <w:t> là một trong những lĩnh vực phổ biến và sự điều chỉnh của nhiều cơ quan thông qua các văn bản pháp luật. Vậy các </w:t>
      </w:r>
      <w:r w:rsidRPr="001B2FCA">
        <w:rPr>
          <w:rFonts w:ascii="Arial" w:eastAsia="Times New Roman" w:hAnsi="Arial" w:cs="Arial"/>
          <w:b/>
          <w:bCs/>
          <w:color w:val="0A0A0A"/>
          <w:sz w:val="29"/>
          <w:szCs w:val="29"/>
        </w:rPr>
        <w:t>nghị định </w:t>
      </w:r>
      <w:r w:rsidRPr="001B2FCA">
        <w:rPr>
          <w:rFonts w:ascii="Arial" w:eastAsia="Times New Roman" w:hAnsi="Arial" w:cs="Arial"/>
          <w:color w:val="0A0A0A"/>
          <w:sz w:val="29"/>
          <w:szCs w:val="29"/>
          <w:bdr w:val="none" w:sz="0" w:space="0" w:color="auto" w:frame="1"/>
        </w:rPr>
        <w:t> </w:t>
      </w:r>
      <w:r w:rsidRPr="001B2FCA">
        <w:rPr>
          <w:rFonts w:ascii="Arial" w:eastAsia="Times New Roman" w:hAnsi="Arial" w:cs="Arial"/>
          <w:b/>
          <w:bCs/>
          <w:color w:val="0A0A0A"/>
          <w:sz w:val="29"/>
          <w:szCs w:val="29"/>
        </w:rPr>
        <w:t>về</w:t>
      </w:r>
      <w:r w:rsidRPr="001B2FCA">
        <w:rPr>
          <w:rFonts w:ascii="Arial" w:eastAsia="Times New Roman" w:hAnsi="Arial" w:cs="Arial"/>
          <w:color w:val="0A0A0A"/>
          <w:sz w:val="29"/>
          <w:szCs w:val="29"/>
        </w:rPr>
        <w:t> </w:t>
      </w:r>
      <w:r w:rsidRPr="001B2FCA">
        <w:rPr>
          <w:rFonts w:ascii="Arial" w:eastAsia="Times New Roman" w:hAnsi="Arial" w:cs="Arial"/>
          <w:b/>
          <w:bCs/>
          <w:color w:val="0A0A0A"/>
          <w:sz w:val="29"/>
          <w:szCs w:val="29"/>
        </w:rPr>
        <w:t>an toàn</w:t>
      </w:r>
      <w:r w:rsidRPr="001B2FCA">
        <w:rPr>
          <w:rFonts w:ascii="Arial" w:eastAsia="Times New Roman" w:hAnsi="Arial" w:cs="Arial"/>
          <w:color w:val="0A0A0A"/>
          <w:sz w:val="29"/>
          <w:szCs w:val="29"/>
        </w:rPr>
        <w:t> </w:t>
      </w:r>
      <w:r w:rsidRPr="001B2FCA">
        <w:rPr>
          <w:rFonts w:ascii="Arial" w:eastAsia="Times New Roman" w:hAnsi="Arial" w:cs="Arial"/>
          <w:b/>
          <w:bCs/>
          <w:color w:val="0A0A0A"/>
          <w:sz w:val="29"/>
          <w:szCs w:val="29"/>
        </w:rPr>
        <w:t>thực phẩm</w:t>
      </w:r>
      <w:r w:rsidRPr="001B2FCA">
        <w:rPr>
          <w:rFonts w:ascii="Arial" w:eastAsia="Times New Roman" w:hAnsi="Arial" w:cs="Arial"/>
          <w:color w:val="0A0A0A"/>
          <w:sz w:val="29"/>
          <w:szCs w:val="29"/>
          <w:bdr w:val="none" w:sz="0" w:space="0" w:color="auto" w:frame="1"/>
        </w:rPr>
        <w:t> hiện nay là gì?</w:t>
      </w:r>
    </w:p>
    <w:p w:rsidR="001B2FCA" w:rsidRPr="001B2FCA" w:rsidRDefault="001B2FCA" w:rsidP="001B2FCA">
      <w:pPr>
        <w:shd w:val="clear" w:color="auto" w:fill="FFFFFF"/>
        <w:spacing w:after="0" w:line="336" w:lineRule="atLeast"/>
        <w:jc w:val="both"/>
        <w:outlineLvl w:val="1"/>
        <w:rPr>
          <w:rFonts w:ascii="Arial" w:eastAsia="Times New Roman" w:hAnsi="Arial" w:cs="Arial"/>
          <w:b/>
          <w:bCs/>
          <w:color w:val="003366"/>
          <w:sz w:val="41"/>
          <w:szCs w:val="41"/>
        </w:rPr>
      </w:pPr>
      <w:r w:rsidRPr="001B2FCA">
        <w:rPr>
          <w:rFonts w:ascii="Arial" w:eastAsia="Times New Roman" w:hAnsi="Arial" w:cs="Arial"/>
          <w:b/>
          <w:bCs/>
          <w:color w:val="003366"/>
          <w:sz w:val="41"/>
          <w:szCs w:val="41"/>
          <w:bdr w:val="none" w:sz="0" w:space="0" w:color="auto" w:frame="1"/>
        </w:rPr>
        <w:t>1. Những nghị định về an toàn thực phẩm có hiệu lực hiện nay</w:t>
      </w:r>
    </w:p>
    <w:p w:rsidR="001B2FCA" w:rsidRPr="001B2FCA" w:rsidRDefault="001B2FCA" w:rsidP="001B2F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9"/>
          <w:szCs w:val="29"/>
        </w:rPr>
      </w:pPr>
      <w:r w:rsidRPr="001B2FCA">
        <w:rPr>
          <w:rFonts w:ascii="Arial" w:eastAsia="Times New Roman" w:hAnsi="Arial" w:cs="Arial"/>
          <w:color w:val="0A0A0A"/>
          <w:sz w:val="29"/>
          <w:szCs w:val="29"/>
          <w:bdr w:val="none" w:sz="0" w:space="0" w:color="auto" w:frame="1"/>
        </w:rPr>
        <w:t>Hiện nay, có rất nhiều văn bản quy định </w:t>
      </w:r>
      <w:r w:rsidRPr="001B2FCA">
        <w:rPr>
          <w:rFonts w:ascii="Arial" w:eastAsia="Times New Roman" w:hAnsi="Arial" w:cs="Arial"/>
          <w:b/>
          <w:bCs/>
          <w:color w:val="0A0A0A"/>
          <w:sz w:val="29"/>
          <w:szCs w:val="29"/>
        </w:rPr>
        <w:t>về</w:t>
      </w:r>
      <w:r w:rsidRPr="001B2FCA">
        <w:rPr>
          <w:rFonts w:ascii="Arial" w:eastAsia="Times New Roman" w:hAnsi="Arial" w:cs="Arial"/>
          <w:color w:val="0A0A0A"/>
          <w:sz w:val="29"/>
          <w:szCs w:val="29"/>
        </w:rPr>
        <w:t> </w:t>
      </w:r>
      <w:r w:rsidRPr="001B2FCA">
        <w:rPr>
          <w:rFonts w:ascii="Arial" w:eastAsia="Times New Roman" w:hAnsi="Arial" w:cs="Arial"/>
          <w:b/>
          <w:bCs/>
          <w:color w:val="0A0A0A"/>
          <w:sz w:val="29"/>
          <w:szCs w:val="29"/>
        </w:rPr>
        <w:t>an toàn</w:t>
      </w:r>
      <w:r w:rsidRPr="001B2FCA">
        <w:rPr>
          <w:rFonts w:ascii="Arial" w:eastAsia="Times New Roman" w:hAnsi="Arial" w:cs="Arial"/>
          <w:color w:val="0A0A0A"/>
          <w:sz w:val="29"/>
          <w:szCs w:val="29"/>
        </w:rPr>
        <w:t> </w:t>
      </w:r>
      <w:r w:rsidRPr="001B2FCA">
        <w:rPr>
          <w:rFonts w:ascii="Arial" w:eastAsia="Times New Roman" w:hAnsi="Arial" w:cs="Arial"/>
          <w:b/>
          <w:bCs/>
          <w:color w:val="0A0A0A"/>
          <w:sz w:val="29"/>
          <w:szCs w:val="29"/>
        </w:rPr>
        <w:t>thực phẩm</w:t>
      </w:r>
      <w:r w:rsidRPr="001B2FCA">
        <w:rPr>
          <w:rFonts w:ascii="Arial" w:eastAsia="Times New Roman" w:hAnsi="Arial" w:cs="Arial"/>
          <w:color w:val="0A0A0A"/>
          <w:sz w:val="29"/>
          <w:szCs w:val="29"/>
          <w:bdr w:val="none" w:sz="0" w:space="0" w:color="auto" w:frame="1"/>
        </w:rPr>
        <w:t>, từ Luật được ban hành bởi Quốc hội cho đến các </w:t>
      </w:r>
      <w:r w:rsidRPr="001B2FCA">
        <w:rPr>
          <w:rFonts w:ascii="Arial" w:eastAsia="Times New Roman" w:hAnsi="Arial" w:cs="Arial"/>
          <w:b/>
          <w:bCs/>
          <w:color w:val="0A0A0A"/>
          <w:sz w:val="29"/>
          <w:szCs w:val="29"/>
        </w:rPr>
        <w:t>Nghị định </w:t>
      </w:r>
      <w:r w:rsidRPr="001B2FCA">
        <w:rPr>
          <w:rFonts w:ascii="Arial" w:eastAsia="Times New Roman" w:hAnsi="Arial" w:cs="Arial"/>
          <w:color w:val="0A0A0A"/>
          <w:sz w:val="29"/>
          <w:szCs w:val="29"/>
          <w:bdr w:val="none" w:sz="0" w:space="0" w:color="auto" w:frame="1"/>
        </w:rPr>
        <w:t> được ban hành bởi chính phủ và kèm theo các Thông tư được ban hành từ ba cơ quan chính trong việc quản lý </w:t>
      </w:r>
      <w:r w:rsidRPr="001B2FCA">
        <w:rPr>
          <w:rFonts w:ascii="Arial" w:eastAsia="Times New Roman" w:hAnsi="Arial" w:cs="Arial"/>
          <w:b/>
          <w:bCs/>
          <w:color w:val="0A0A0A"/>
          <w:sz w:val="29"/>
          <w:szCs w:val="29"/>
        </w:rPr>
        <w:t>An toàn</w:t>
      </w:r>
      <w:r w:rsidRPr="001B2FCA">
        <w:rPr>
          <w:rFonts w:ascii="Arial" w:eastAsia="Times New Roman" w:hAnsi="Arial" w:cs="Arial"/>
          <w:color w:val="0A0A0A"/>
          <w:sz w:val="29"/>
          <w:szCs w:val="29"/>
        </w:rPr>
        <w:t> </w:t>
      </w:r>
      <w:r w:rsidRPr="001B2FCA">
        <w:rPr>
          <w:rFonts w:ascii="Arial" w:eastAsia="Times New Roman" w:hAnsi="Arial" w:cs="Arial"/>
          <w:b/>
          <w:bCs/>
          <w:color w:val="0A0A0A"/>
          <w:sz w:val="29"/>
          <w:szCs w:val="29"/>
        </w:rPr>
        <w:t>thực phẩm</w:t>
      </w:r>
      <w:r w:rsidRPr="001B2FCA">
        <w:rPr>
          <w:rFonts w:ascii="Arial" w:eastAsia="Times New Roman" w:hAnsi="Arial" w:cs="Arial"/>
          <w:color w:val="0A0A0A"/>
          <w:sz w:val="29"/>
          <w:szCs w:val="29"/>
          <w:bdr w:val="none" w:sz="0" w:space="0" w:color="auto" w:frame="1"/>
        </w:rPr>
        <w:t> hiện nay là: Bộ Y tế, Bộ Công Thương, Bộ Nông Nghiệp và Phát triển nông thôn thì những văn bản quy định </w:t>
      </w:r>
      <w:r w:rsidRPr="001B2FCA">
        <w:rPr>
          <w:rFonts w:ascii="Arial" w:eastAsia="Times New Roman" w:hAnsi="Arial" w:cs="Arial"/>
          <w:b/>
          <w:bCs/>
          <w:color w:val="0A0A0A"/>
          <w:sz w:val="29"/>
          <w:szCs w:val="29"/>
        </w:rPr>
        <w:t>về</w:t>
      </w:r>
      <w:r w:rsidRPr="001B2FCA">
        <w:rPr>
          <w:rFonts w:ascii="Arial" w:eastAsia="Times New Roman" w:hAnsi="Arial" w:cs="Arial"/>
          <w:color w:val="0A0A0A"/>
          <w:sz w:val="29"/>
          <w:szCs w:val="29"/>
          <w:bdr w:val="none" w:sz="0" w:space="0" w:color="auto" w:frame="1"/>
        </w:rPr>
        <w:t> đảm bảo vệ sinh </w:t>
      </w:r>
      <w:r w:rsidRPr="001B2FCA">
        <w:rPr>
          <w:rFonts w:ascii="Arial" w:eastAsia="Times New Roman" w:hAnsi="Arial" w:cs="Arial"/>
          <w:b/>
          <w:bCs/>
          <w:color w:val="0A0A0A"/>
          <w:sz w:val="29"/>
          <w:szCs w:val="29"/>
        </w:rPr>
        <w:t>thực phẩm</w:t>
      </w:r>
      <w:r w:rsidRPr="001B2FCA">
        <w:rPr>
          <w:rFonts w:ascii="Arial" w:eastAsia="Times New Roman" w:hAnsi="Arial" w:cs="Arial"/>
          <w:color w:val="0A0A0A"/>
          <w:sz w:val="29"/>
          <w:szCs w:val="29"/>
          <w:bdr w:val="none" w:sz="0" w:space="0" w:color="auto" w:frame="1"/>
        </w:rPr>
        <w:t> được dùng phổ biến nhất là:</w:t>
      </w:r>
    </w:p>
    <w:p w:rsidR="001B2FCA" w:rsidRPr="001B2FCA" w:rsidRDefault="001B2FCA" w:rsidP="001B2F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9"/>
          <w:szCs w:val="29"/>
        </w:rPr>
      </w:pPr>
      <w:r w:rsidRPr="001B2FCA">
        <w:rPr>
          <w:rFonts w:ascii="Arial" w:eastAsia="Times New Roman" w:hAnsi="Arial" w:cs="Arial"/>
          <w:color w:val="0A0A0A"/>
          <w:sz w:val="29"/>
          <w:szCs w:val="29"/>
          <w:bdr w:val="none" w:sz="0" w:space="0" w:color="auto" w:frame="1"/>
        </w:rPr>
        <w:t>–        Luật </w:t>
      </w:r>
      <w:r w:rsidRPr="001B2FCA">
        <w:rPr>
          <w:rFonts w:ascii="Arial" w:eastAsia="Times New Roman" w:hAnsi="Arial" w:cs="Arial"/>
          <w:b/>
          <w:bCs/>
          <w:color w:val="0A0A0A"/>
          <w:sz w:val="29"/>
          <w:szCs w:val="29"/>
        </w:rPr>
        <w:t>An toàn</w:t>
      </w:r>
      <w:r w:rsidRPr="001B2FCA">
        <w:rPr>
          <w:rFonts w:ascii="Arial" w:eastAsia="Times New Roman" w:hAnsi="Arial" w:cs="Arial"/>
          <w:color w:val="0A0A0A"/>
          <w:sz w:val="29"/>
          <w:szCs w:val="29"/>
        </w:rPr>
        <w:t> </w:t>
      </w:r>
      <w:r w:rsidRPr="001B2FCA">
        <w:rPr>
          <w:rFonts w:ascii="Arial" w:eastAsia="Times New Roman" w:hAnsi="Arial" w:cs="Arial"/>
          <w:b/>
          <w:bCs/>
          <w:color w:val="0A0A0A"/>
          <w:sz w:val="29"/>
          <w:szCs w:val="29"/>
        </w:rPr>
        <w:t>thực phẩm</w:t>
      </w:r>
      <w:r w:rsidRPr="001B2FCA">
        <w:rPr>
          <w:rFonts w:ascii="Arial" w:eastAsia="Times New Roman" w:hAnsi="Arial" w:cs="Arial"/>
          <w:color w:val="0A0A0A"/>
          <w:sz w:val="29"/>
          <w:szCs w:val="29"/>
          <w:bdr w:val="none" w:sz="0" w:space="0" w:color="auto" w:frame="1"/>
        </w:rPr>
        <w:t> số 55/2010/QH12 được Quốc hội nước Cộng hoà xã hội chủ nghĩa Việt Nam khoá XII, kỳ họp thứ 7 thông qua ngày 17 tháng 6 năm 2010</w:t>
      </w:r>
    </w:p>
    <w:p w:rsidR="001B2FCA" w:rsidRPr="001B2FCA" w:rsidRDefault="001B2FCA" w:rsidP="001B2F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9"/>
          <w:szCs w:val="29"/>
        </w:rPr>
      </w:pPr>
      <w:r w:rsidRPr="001B2FCA">
        <w:rPr>
          <w:rFonts w:ascii="Arial" w:eastAsia="Times New Roman" w:hAnsi="Arial" w:cs="Arial"/>
          <w:color w:val="0A0A0A"/>
          <w:sz w:val="29"/>
          <w:szCs w:val="29"/>
          <w:bdr w:val="none" w:sz="0" w:space="0" w:color="auto" w:frame="1"/>
        </w:rPr>
        <w:t>–        </w:t>
      </w:r>
      <w:r w:rsidRPr="001B2FCA">
        <w:rPr>
          <w:rFonts w:ascii="Arial" w:eastAsia="Times New Roman" w:hAnsi="Arial" w:cs="Arial"/>
          <w:b/>
          <w:bCs/>
          <w:color w:val="0A0A0A"/>
          <w:sz w:val="29"/>
          <w:szCs w:val="29"/>
        </w:rPr>
        <w:t>Nghị định </w:t>
      </w:r>
      <w:r w:rsidRPr="001B2FCA">
        <w:rPr>
          <w:rFonts w:ascii="Arial" w:eastAsia="Times New Roman" w:hAnsi="Arial" w:cs="Arial"/>
          <w:color w:val="0A0A0A"/>
          <w:sz w:val="29"/>
          <w:szCs w:val="29"/>
          <w:bdr w:val="none" w:sz="0" w:space="0" w:color="auto" w:frame="1"/>
        </w:rPr>
        <w:t> số 15/2018/NĐ-CP </w:t>
      </w:r>
      <w:r w:rsidRPr="001B2FCA">
        <w:rPr>
          <w:rFonts w:ascii="Arial" w:eastAsia="Times New Roman" w:hAnsi="Arial" w:cs="Arial"/>
          <w:b/>
          <w:bCs/>
          <w:color w:val="0A0A0A"/>
          <w:sz w:val="29"/>
          <w:szCs w:val="29"/>
        </w:rPr>
        <w:t>Nghị định </w:t>
      </w:r>
      <w:r w:rsidRPr="001B2FCA">
        <w:rPr>
          <w:rFonts w:ascii="Arial" w:eastAsia="Times New Roman" w:hAnsi="Arial" w:cs="Arial"/>
          <w:color w:val="0A0A0A"/>
          <w:sz w:val="29"/>
          <w:szCs w:val="29"/>
          <w:bdr w:val="none" w:sz="0" w:space="0" w:color="auto" w:frame="1"/>
        </w:rPr>
        <w:t> quy định chi tiết thi hành một số điều của Luật </w:t>
      </w:r>
      <w:r w:rsidRPr="001B2FCA">
        <w:rPr>
          <w:rFonts w:ascii="Arial" w:eastAsia="Times New Roman" w:hAnsi="Arial" w:cs="Arial"/>
          <w:b/>
          <w:bCs/>
          <w:color w:val="0A0A0A"/>
          <w:sz w:val="29"/>
          <w:szCs w:val="29"/>
        </w:rPr>
        <w:t>An toàn</w:t>
      </w:r>
      <w:r w:rsidRPr="001B2FCA">
        <w:rPr>
          <w:rFonts w:ascii="Arial" w:eastAsia="Times New Roman" w:hAnsi="Arial" w:cs="Arial"/>
          <w:color w:val="0A0A0A"/>
          <w:sz w:val="29"/>
          <w:szCs w:val="29"/>
        </w:rPr>
        <w:t> </w:t>
      </w:r>
      <w:r w:rsidRPr="001B2FCA">
        <w:rPr>
          <w:rFonts w:ascii="Arial" w:eastAsia="Times New Roman" w:hAnsi="Arial" w:cs="Arial"/>
          <w:b/>
          <w:bCs/>
          <w:color w:val="0A0A0A"/>
          <w:sz w:val="29"/>
          <w:szCs w:val="29"/>
        </w:rPr>
        <w:t>thực phẩm</w:t>
      </w:r>
      <w:r w:rsidRPr="001B2FCA">
        <w:rPr>
          <w:rFonts w:ascii="Arial" w:eastAsia="Times New Roman" w:hAnsi="Arial" w:cs="Arial"/>
          <w:color w:val="0A0A0A"/>
          <w:sz w:val="29"/>
          <w:szCs w:val="29"/>
          <w:bdr w:val="none" w:sz="0" w:space="0" w:color="auto" w:frame="1"/>
        </w:rPr>
        <w:t> có hiệu lực thi hành từ ngày 02 tháng 02 năm 2018</w:t>
      </w:r>
    </w:p>
    <w:p w:rsidR="001B2FCA" w:rsidRPr="001B2FCA" w:rsidRDefault="001B2FCA" w:rsidP="001B2F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9"/>
          <w:szCs w:val="29"/>
        </w:rPr>
      </w:pPr>
      <w:r w:rsidRPr="001B2FCA">
        <w:rPr>
          <w:rFonts w:ascii="Arial" w:eastAsia="Times New Roman" w:hAnsi="Arial" w:cs="Arial"/>
          <w:color w:val="0A0A0A"/>
          <w:sz w:val="29"/>
          <w:szCs w:val="29"/>
          <w:bdr w:val="none" w:sz="0" w:space="0" w:color="auto" w:frame="1"/>
        </w:rPr>
        <w:t>–        Công tác bảo đảm </w:t>
      </w:r>
      <w:r w:rsidRPr="001B2FCA">
        <w:rPr>
          <w:rFonts w:ascii="Arial" w:eastAsia="Times New Roman" w:hAnsi="Arial" w:cs="Arial"/>
          <w:b/>
          <w:bCs/>
          <w:color w:val="0A0A0A"/>
          <w:sz w:val="29"/>
          <w:szCs w:val="29"/>
        </w:rPr>
        <w:t>an toàn</w:t>
      </w:r>
      <w:r w:rsidRPr="001B2FCA">
        <w:rPr>
          <w:rFonts w:ascii="Arial" w:eastAsia="Times New Roman" w:hAnsi="Arial" w:cs="Arial"/>
          <w:color w:val="0A0A0A"/>
          <w:sz w:val="29"/>
          <w:szCs w:val="29"/>
        </w:rPr>
        <w:t> </w:t>
      </w:r>
      <w:r w:rsidRPr="001B2FCA">
        <w:rPr>
          <w:rFonts w:ascii="Arial" w:eastAsia="Times New Roman" w:hAnsi="Arial" w:cs="Arial"/>
          <w:b/>
          <w:bCs/>
          <w:color w:val="0A0A0A"/>
          <w:sz w:val="29"/>
          <w:szCs w:val="29"/>
        </w:rPr>
        <w:t>thực phẩm</w:t>
      </w:r>
      <w:r w:rsidRPr="001B2FCA">
        <w:rPr>
          <w:rFonts w:ascii="Arial" w:eastAsia="Times New Roman" w:hAnsi="Arial" w:cs="Arial"/>
          <w:color w:val="0A0A0A"/>
          <w:sz w:val="29"/>
          <w:szCs w:val="29"/>
          <w:bdr w:val="none" w:sz="0" w:space="0" w:color="auto" w:frame="1"/>
        </w:rPr>
        <w:t> thuộc trách nhiệm quản lý nhà nước của Bộ Công Thương được hướng dẫn bởi Công văn 2129/BCT-KHCN năm 2018</w:t>
      </w:r>
    </w:p>
    <w:p w:rsidR="001B2FCA" w:rsidRPr="001B2FCA" w:rsidRDefault="001B2FCA" w:rsidP="001B2F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9"/>
          <w:szCs w:val="29"/>
        </w:rPr>
      </w:pPr>
      <w:r w:rsidRPr="001B2FCA">
        <w:rPr>
          <w:rFonts w:ascii="Arial" w:eastAsia="Times New Roman" w:hAnsi="Arial" w:cs="Arial"/>
          <w:color w:val="0A0A0A"/>
          <w:sz w:val="29"/>
          <w:szCs w:val="29"/>
          <w:bdr w:val="none" w:sz="0" w:space="0" w:color="auto" w:frame="1"/>
        </w:rPr>
        <w:t>–        Thông tư số 47/2017/TT-BYT Thông tư hướng dẫn quản lý </w:t>
      </w:r>
      <w:r w:rsidRPr="001B2FCA">
        <w:rPr>
          <w:rFonts w:ascii="Arial" w:eastAsia="Times New Roman" w:hAnsi="Arial" w:cs="Arial"/>
          <w:b/>
          <w:bCs/>
          <w:color w:val="0A0A0A"/>
          <w:sz w:val="29"/>
          <w:szCs w:val="29"/>
        </w:rPr>
        <w:t>an toàn</w:t>
      </w:r>
      <w:r w:rsidRPr="001B2FCA">
        <w:rPr>
          <w:rFonts w:ascii="Arial" w:eastAsia="Times New Roman" w:hAnsi="Arial" w:cs="Arial"/>
          <w:color w:val="0A0A0A"/>
          <w:sz w:val="29"/>
          <w:szCs w:val="29"/>
          <w:bdr w:val="none" w:sz="0" w:space="0" w:color="auto" w:frame="1"/>
        </w:rPr>
        <w:t> toàn </w:t>
      </w:r>
      <w:r w:rsidRPr="001B2FCA">
        <w:rPr>
          <w:rFonts w:ascii="Arial" w:eastAsia="Times New Roman" w:hAnsi="Arial" w:cs="Arial"/>
          <w:b/>
          <w:bCs/>
          <w:color w:val="0A0A0A"/>
          <w:sz w:val="29"/>
          <w:szCs w:val="29"/>
        </w:rPr>
        <w:t>thực phẩm</w:t>
      </w:r>
      <w:r w:rsidRPr="001B2FCA">
        <w:rPr>
          <w:rFonts w:ascii="Arial" w:eastAsia="Times New Roman" w:hAnsi="Arial" w:cs="Arial"/>
          <w:color w:val="0A0A0A"/>
          <w:sz w:val="29"/>
          <w:szCs w:val="29"/>
          <w:bdr w:val="none" w:sz="0" w:space="0" w:color="auto" w:frame="1"/>
        </w:rPr>
        <w:t> đối với cơ sở kinh doanh dịch vụ ăn uống có hiệu lực thi hành kể từ ngày 15 tháng 02 năm 2015.</w:t>
      </w:r>
    </w:p>
    <w:p w:rsidR="001B2FCA" w:rsidRPr="001B2FCA" w:rsidRDefault="001B2FCA" w:rsidP="001B2F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9"/>
          <w:szCs w:val="29"/>
        </w:rPr>
      </w:pPr>
      <w:r w:rsidRPr="001B2FCA">
        <w:rPr>
          <w:rFonts w:ascii="Arial" w:eastAsia="Times New Roman" w:hAnsi="Arial" w:cs="Arial"/>
          <w:color w:val="0A0A0A"/>
          <w:sz w:val="29"/>
          <w:szCs w:val="29"/>
          <w:bdr w:val="none" w:sz="0" w:space="0" w:color="auto" w:frame="1"/>
        </w:rPr>
        <w:t>–        Thông tư 43/2018/TT-BCT Thông tư quy định </w:t>
      </w:r>
      <w:r w:rsidRPr="001B2FCA">
        <w:rPr>
          <w:rFonts w:ascii="Arial" w:eastAsia="Times New Roman" w:hAnsi="Arial" w:cs="Arial"/>
          <w:b/>
          <w:bCs/>
          <w:color w:val="0A0A0A"/>
          <w:sz w:val="29"/>
          <w:szCs w:val="29"/>
        </w:rPr>
        <w:t>về</w:t>
      </w:r>
      <w:r w:rsidRPr="001B2FCA">
        <w:rPr>
          <w:rFonts w:ascii="Arial" w:eastAsia="Times New Roman" w:hAnsi="Arial" w:cs="Arial"/>
          <w:color w:val="0A0A0A"/>
          <w:sz w:val="29"/>
          <w:szCs w:val="29"/>
          <w:bdr w:val="none" w:sz="0" w:space="0" w:color="auto" w:frame="1"/>
        </w:rPr>
        <w:t> quản lý </w:t>
      </w:r>
      <w:r w:rsidRPr="001B2FCA">
        <w:rPr>
          <w:rFonts w:ascii="Arial" w:eastAsia="Times New Roman" w:hAnsi="Arial" w:cs="Arial"/>
          <w:b/>
          <w:bCs/>
          <w:color w:val="0A0A0A"/>
          <w:sz w:val="29"/>
          <w:szCs w:val="29"/>
        </w:rPr>
        <w:t>an toàn</w:t>
      </w:r>
      <w:r w:rsidRPr="001B2FCA">
        <w:rPr>
          <w:rFonts w:ascii="Arial" w:eastAsia="Times New Roman" w:hAnsi="Arial" w:cs="Arial"/>
          <w:color w:val="0A0A0A"/>
          <w:sz w:val="29"/>
          <w:szCs w:val="29"/>
        </w:rPr>
        <w:t> </w:t>
      </w:r>
      <w:r w:rsidRPr="001B2FCA">
        <w:rPr>
          <w:rFonts w:ascii="Arial" w:eastAsia="Times New Roman" w:hAnsi="Arial" w:cs="Arial"/>
          <w:b/>
          <w:bCs/>
          <w:color w:val="0A0A0A"/>
          <w:sz w:val="29"/>
          <w:szCs w:val="29"/>
        </w:rPr>
        <w:t>thực phẩm</w:t>
      </w:r>
      <w:r w:rsidRPr="001B2FCA">
        <w:rPr>
          <w:rFonts w:ascii="Arial" w:eastAsia="Times New Roman" w:hAnsi="Arial" w:cs="Arial"/>
          <w:color w:val="0A0A0A"/>
          <w:sz w:val="29"/>
          <w:szCs w:val="29"/>
          <w:bdr w:val="none" w:sz="0" w:space="0" w:color="auto" w:frame="1"/>
        </w:rPr>
        <w:t> thuộc trách nhiệm của Bộ Công thương có hiệu lực thi hành từ ngày 01 tháng 01 năm 2019</w:t>
      </w:r>
    </w:p>
    <w:p w:rsidR="001B2FCA" w:rsidRPr="001B2FCA" w:rsidRDefault="001B2FCA" w:rsidP="001B2F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9"/>
          <w:szCs w:val="29"/>
        </w:rPr>
      </w:pPr>
      <w:r w:rsidRPr="001B2FCA">
        <w:rPr>
          <w:rFonts w:ascii="Arial" w:eastAsia="Times New Roman" w:hAnsi="Arial" w:cs="Arial"/>
          <w:color w:val="0A0A0A"/>
          <w:sz w:val="29"/>
          <w:szCs w:val="29"/>
          <w:bdr w:val="none" w:sz="0" w:space="0" w:color="auto" w:frame="1"/>
        </w:rPr>
        <w:t>–        Thông tư 17/2018/TT-BNNPTNT Thông tư quy định phương thức quản lý điều kiện đảm bảo </w:t>
      </w:r>
      <w:r w:rsidRPr="001B2FCA">
        <w:rPr>
          <w:rFonts w:ascii="Arial" w:eastAsia="Times New Roman" w:hAnsi="Arial" w:cs="Arial"/>
          <w:b/>
          <w:bCs/>
          <w:color w:val="0A0A0A"/>
          <w:sz w:val="29"/>
          <w:szCs w:val="29"/>
        </w:rPr>
        <w:t>an toàn</w:t>
      </w:r>
      <w:r w:rsidRPr="001B2FCA">
        <w:rPr>
          <w:rFonts w:ascii="Arial" w:eastAsia="Times New Roman" w:hAnsi="Arial" w:cs="Arial"/>
          <w:color w:val="0A0A0A"/>
          <w:sz w:val="29"/>
          <w:szCs w:val="29"/>
        </w:rPr>
        <w:t> </w:t>
      </w:r>
      <w:r w:rsidRPr="001B2FCA">
        <w:rPr>
          <w:rFonts w:ascii="Arial" w:eastAsia="Times New Roman" w:hAnsi="Arial" w:cs="Arial"/>
          <w:b/>
          <w:bCs/>
          <w:color w:val="0A0A0A"/>
          <w:sz w:val="29"/>
          <w:szCs w:val="29"/>
        </w:rPr>
        <w:t>thực phẩm</w:t>
      </w:r>
      <w:r w:rsidRPr="001B2FCA">
        <w:rPr>
          <w:rFonts w:ascii="Arial" w:eastAsia="Times New Roman" w:hAnsi="Arial" w:cs="Arial"/>
          <w:color w:val="0A0A0A"/>
          <w:sz w:val="29"/>
          <w:szCs w:val="29"/>
          <w:bdr w:val="none" w:sz="0" w:space="0" w:color="auto" w:frame="1"/>
        </w:rPr>
        <w:t> đối với cơ sở sản xuất kinh doanh Nông lâm thủy sản không thuộc diện cấp </w:t>
      </w:r>
      <w:hyperlink r:id="rId4" w:history="1">
        <w:r w:rsidRPr="001B2FCA">
          <w:rPr>
            <w:rFonts w:ascii="Arial" w:eastAsia="Times New Roman" w:hAnsi="Arial" w:cs="Arial"/>
            <w:color w:val="1E72BD"/>
            <w:sz w:val="29"/>
            <w:szCs w:val="29"/>
            <w:u w:val="single"/>
            <w:bdr w:val="none" w:sz="0" w:space="0" w:color="auto" w:frame="1"/>
          </w:rPr>
          <w:t>giấy chứng nhận cơ sở đủ điều kiện </w:t>
        </w:r>
      </w:hyperlink>
      <w:r w:rsidRPr="001B2FCA">
        <w:rPr>
          <w:rFonts w:ascii="Arial" w:eastAsia="Times New Roman" w:hAnsi="Arial" w:cs="Arial"/>
          <w:b/>
          <w:bCs/>
          <w:color w:val="0A0A0A"/>
          <w:sz w:val="29"/>
          <w:szCs w:val="29"/>
        </w:rPr>
        <w:t>an toàn</w:t>
      </w:r>
      <w:r w:rsidRPr="001B2FCA">
        <w:rPr>
          <w:rFonts w:ascii="Arial" w:eastAsia="Times New Roman" w:hAnsi="Arial" w:cs="Arial"/>
          <w:color w:val="0A0A0A"/>
          <w:sz w:val="29"/>
          <w:szCs w:val="29"/>
        </w:rPr>
        <w:t> </w:t>
      </w:r>
      <w:r w:rsidRPr="001B2FCA">
        <w:rPr>
          <w:rFonts w:ascii="Arial" w:eastAsia="Times New Roman" w:hAnsi="Arial" w:cs="Arial"/>
          <w:b/>
          <w:bCs/>
          <w:color w:val="0A0A0A"/>
          <w:sz w:val="29"/>
          <w:szCs w:val="29"/>
        </w:rPr>
        <w:t>thực phẩm</w:t>
      </w:r>
      <w:r w:rsidRPr="001B2FCA">
        <w:rPr>
          <w:rFonts w:ascii="Arial" w:eastAsia="Times New Roman" w:hAnsi="Arial" w:cs="Arial"/>
          <w:color w:val="0A0A0A"/>
          <w:sz w:val="29"/>
          <w:szCs w:val="29"/>
          <w:bdr w:val="none" w:sz="0" w:space="0" w:color="auto" w:frame="1"/>
        </w:rPr>
        <w:t> không thuộc phạm vi quản lý của Bộ Nông nghiệp và Phát triển nông thôn có hiệu lực kể từ ngày 01 tháng 01 năm 2019.</w:t>
      </w:r>
    </w:p>
    <w:p w:rsidR="001B2FCA" w:rsidRPr="001B2FCA" w:rsidRDefault="001B2FCA" w:rsidP="001B2F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9"/>
          <w:szCs w:val="29"/>
        </w:rPr>
      </w:pPr>
      <w:r w:rsidRPr="001B2FCA">
        <w:rPr>
          <w:rFonts w:ascii="Arial" w:eastAsia="Times New Roman" w:hAnsi="Arial" w:cs="Arial"/>
          <w:color w:val="0A0A0A"/>
          <w:sz w:val="29"/>
          <w:szCs w:val="29"/>
          <w:bdr w:val="none" w:sz="0" w:space="0" w:color="auto" w:frame="1"/>
        </w:rPr>
        <w:t>–       </w:t>
      </w:r>
      <w:hyperlink r:id="rId5" w:history="1">
        <w:r w:rsidRPr="001B2FCA">
          <w:rPr>
            <w:rFonts w:ascii="Arial" w:eastAsia="Times New Roman" w:hAnsi="Arial" w:cs="Arial"/>
            <w:color w:val="1E72BD"/>
            <w:sz w:val="29"/>
            <w:szCs w:val="29"/>
            <w:u w:val="single"/>
            <w:bdr w:val="none" w:sz="0" w:space="0" w:color="auto" w:frame="1"/>
          </w:rPr>
          <w:t> Thông tư số 75/2020/TT – BTC ngày 12/8/2020 Thông tư sửa đổi, bổ sung một số điều của Thông tư số 279/2016/TT – BTC ngày 14/11/2016 của Bộ trưởng Bộ Tài chính quy định mức thu, chế độ thu, nộp, quản lý và sử dụng phí trong công tác </w:t>
        </w:r>
        <w:r w:rsidRPr="001B2FCA">
          <w:rPr>
            <w:rFonts w:ascii="Arial" w:eastAsia="Times New Roman" w:hAnsi="Arial" w:cs="Arial"/>
            <w:b/>
            <w:bCs/>
            <w:color w:val="1E72BD"/>
            <w:sz w:val="29"/>
            <w:szCs w:val="29"/>
            <w:u w:val="single"/>
            <w:bdr w:val="none" w:sz="0" w:space="0" w:color="auto" w:frame="1"/>
          </w:rPr>
          <w:t>an toàn</w:t>
        </w:r>
        <w:r w:rsidRPr="001B2FCA">
          <w:rPr>
            <w:rFonts w:ascii="Arial" w:eastAsia="Times New Roman" w:hAnsi="Arial" w:cs="Arial"/>
            <w:color w:val="1E72BD"/>
            <w:sz w:val="29"/>
            <w:szCs w:val="29"/>
            <w:u w:val="single"/>
            <w:bdr w:val="none" w:sz="0" w:space="0" w:color="auto" w:frame="1"/>
          </w:rPr>
          <w:t> vệ sinh </w:t>
        </w:r>
        <w:r w:rsidRPr="001B2FCA">
          <w:rPr>
            <w:rFonts w:ascii="Arial" w:eastAsia="Times New Roman" w:hAnsi="Arial" w:cs="Arial"/>
            <w:b/>
            <w:bCs/>
            <w:color w:val="1E72BD"/>
            <w:sz w:val="29"/>
            <w:szCs w:val="29"/>
            <w:u w:val="single"/>
            <w:bdr w:val="none" w:sz="0" w:space="0" w:color="auto" w:frame="1"/>
          </w:rPr>
          <w:t>thực phẩm</w:t>
        </w:r>
      </w:hyperlink>
    </w:p>
    <w:p w:rsidR="001B2FCA" w:rsidRPr="001B2FCA" w:rsidRDefault="001B2FCA" w:rsidP="001B2F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9"/>
          <w:szCs w:val="29"/>
        </w:rPr>
      </w:pPr>
      <w:r w:rsidRPr="001B2FCA">
        <w:rPr>
          <w:rFonts w:ascii="Arial" w:eastAsia="Times New Roman" w:hAnsi="Arial" w:cs="Arial"/>
          <w:color w:val="0A0A0A"/>
          <w:sz w:val="29"/>
          <w:szCs w:val="29"/>
          <w:bdr w:val="none" w:sz="0" w:space="0" w:color="auto" w:frame="1"/>
        </w:rPr>
        <w:lastRenderedPageBreak/>
        <w:t>–        Quyết định 135/QĐ-BYT năm 2019 Quyết định </w:t>
      </w:r>
      <w:r w:rsidRPr="001B2FCA">
        <w:rPr>
          <w:rFonts w:ascii="Arial" w:eastAsia="Times New Roman" w:hAnsi="Arial" w:cs="Arial"/>
          <w:b/>
          <w:bCs/>
          <w:color w:val="0A0A0A"/>
          <w:sz w:val="29"/>
          <w:szCs w:val="29"/>
        </w:rPr>
        <w:t>về</w:t>
      </w:r>
      <w:r w:rsidRPr="001B2FCA">
        <w:rPr>
          <w:rFonts w:ascii="Arial" w:eastAsia="Times New Roman" w:hAnsi="Arial" w:cs="Arial"/>
          <w:color w:val="0A0A0A"/>
          <w:sz w:val="29"/>
          <w:szCs w:val="29"/>
          <w:bdr w:val="none" w:sz="0" w:space="0" w:color="auto" w:frame="1"/>
        </w:rPr>
        <w:t> việc sửa đổi, bổ sung thủ tục hành chính mới ban hành trong lĩnh vực </w:t>
      </w:r>
      <w:r w:rsidRPr="001B2FCA">
        <w:rPr>
          <w:rFonts w:ascii="Arial" w:eastAsia="Times New Roman" w:hAnsi="Arial" w:cs="Arial"/>
          <w:b/>
          <w:bCs/>
          <w:color w:val="0A0A0A"/>
          <w:sz w:val="29"/>
          <w:szCs w:val="29"/>
        </w:rPr>
        <w:t>an toàn</w:t>
      </w:r>
      <w:r w:rsidRPr="001B2FCA">
        <w:rPr>
          <w:rFonts w:ascii="Arial" w:eastAsia="Times New Roman" w:hAnsi="Arial" w:cs="Arial"/>
          <w:color w:val="0A0A0A"/>
          <w:sz w:val="29"/>
          <w:szCs w:val="29"/>
        </w:rPr>
        <w:t> </w:t>
      </w:r>
      <w:r w:rsidRPr="001B2FCA">
        <w:rPr>
          <w:rFonts w:ascii="Arial" w:eastAsia="Times New Roman" w:hAnsi="Arial" w:cs="Arial"/>
          <w:b/>
          <w:bCs/>
          <w:color w:val="0A0A0A"/>
          <w:sz w:val="29"/>
          <w:szCs w:val="29"/>
        </w:rPr>
        <w:t>thực phẩm</w:t>
      </w:r>
      <w:r w:rsidRPr="001B2FCA">
        <w:rPr>
          <w:rFonts w:ascii="Arial" w:eastAsia="Times New Roman" w:hAnsi="Arial" w:cs="Arial"/>
          <w:color w:val="0A0A0A"/>
          <w:sz w:val="29"/>
          <w:szCs w:val="29"/>
          <w:bdr w:val="none" w:sz="0" w:space="0" w:color="auto" w:frame="1"/>
        </w:rPr>
        <w:t> và dinh dưỡng thuộc phạm vi chức năng quản lý của Bộ Y tế</w:t>
      </w:r>
    </w:p>
    <w:p w:rsidR="001B2FCA" w:rsidRPr="001B2FCA" w:rsidRDefault="001B2FCA" w:rsidP="001B2FCA">
      <w:pPr>
        <w:shd w:val="clear" w:color="auto" w:fill="FFFFFF"/>
        <w:spacing w:after="0" w:line="336" w:lineRule="atLeast"/>
        <w:jc w:val="both"/>
        <w:outlineLvl w:val="1"/>
        <w:rPr>
          <w:rFonts w:ascii="Arial" w:eastAsia="Times New Roman" w:hAnsi="Arial" w:cs="Arial"/>
          <w:b/>
          <w:bCs/>
          <w:color w:val="003366"/>
          <w:sz w:val="41"/>
          <w:szCs w:val="41"/>
        </w:rPr>
      </w:pPr>
      <w:r w:rsidRPr="001B2FCA">
        <w:rPr>
          <w:rFonts w:ascii="Arial" w:eastAsia="Times New Roman" w:hAnsi="Arial" w:cs="Arial"/>
          <w:b/>
          <w:bCs/>
          <w:color w:val="003366"/>
          <w:sz w:val="41"/>
          <w:szCs w:val="41"/>
          <w:bdr w:val="none" w:sz="0" w:space="0" w:color="auto" w:frame="1"/>
        </w:rPr>
        <w:t>2. Nội dung cơ bản của nghị định  về an toàn thực phẩm</w:t>
      </w:r>
    </w:p>
    <w:p w:rsidR="001B2FCA" w:rsidRPr="001B2FCA" w:rsidRDefault="001B2FCA" w:rsidP="001B2F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9"/>
          <w:szCs w:val="29"/>
        </w:rPr>
      </w:pPr>
      <w:r w:rsidRPr="001B2FCA">
        <w:rPr>
          <w:rFonts w:ascii="Arial" w:eastAsia="Times New Roman" w:hAnsi="Arial" w:cs="Arial"/>
          <w:color w:val="0A0A0A"/>
          <w:sz w:val="29"/>
          <w:szCs w:val="29"/>
          <w:bdr w:val="none" w:sz="0" w:space="0" w:color="auto" w:frame="1"/>
        </w:rPr>
        <w:t>Hầu hết, các văn bản pháp luật được nói đến ở trên đều bổ sung và hỗ trợ cho nhau. Do đó, nội dung chính của những văn bản chủ yếu xoay quanh các vấn đề sau đây:</w:t>
      </w:r>
    </w:p>
    <w:p w:rsidR="001B2FCA" w:rsidRPr="001B2FCA" w:rsidRDefault="001B2FCA" w:rsidP="001B2F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9"/>
          <w:szCs w:val="29"/>
        </w:rPr>
      </w:pPr>
      <w:r w:rsidRPr="001B2FCA">
        <w:rPr>
          <w:rFonts w:ascii="Arial" w:eastAsia="Times New Roman" w:hAnsi="Arial" w:cs="Arial"/>
          <w:color w:val="0A0A0A"/>
          <w:sz w:val="29"/>
          <w:szCs w:val="29"/>
          <w:bdr w:val="none" w:sz="0" w:space="0" w:color="auto" w:frame="1"/>
        </w:rPr>
        <w:t>– Phạm vi điều chỉnh và đối tượng áp dụng của các văn bản pháp luật áp dụng</w:t>
      </w:r>
    </w:p>
    <w:p w:rsidR="001B2FCA" w:rsidRPr="001B2FCA" w:rsidRDefault="001B2FCA" w:rsidP="001B2F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9"/>
          <w:szCs w:val="29"/>
        </w:rPr>
      </w:pPr>
      <w:r w:rsidRPr="001B2FCA">
        <w:rPr>
          <w:rFonts w:ascii="Arial" w:eastAsia="Times New Roman" w:hAnsi="Arial" w:cs="Arial"/>
          <w:color w:val="0A0A0A"/>
          <w:sz w:val="29"/>
          <w:szCs w:val="29"/>
          <w:bdr w:val="none" w:sz="0" w:space="0" w:color="auto" w:frame="1"/>
        </w:rPr>
        <w:t>– Giải thích từ ngữ được sử dụng</w:t>
      </w:r>
    </w:p>
    <w:p w:rsidR="001B2FCA" w:rsidRPr="001B2FCA" w:rsidRDefault="001B2FCA" w:rsidP="001B2F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9"/>
          <w:szCs w:val="29"/>
        </w:rPr>
      </w:pPr>
      <w:r w:rsidRPr="001B2FCA">
        <w:rPr>
          <w:rFonts w:ascii="Arial" w:eastAsia="Times New Roman" w:hAnsi="Arial" w:cs="Arial"/>
          <w:color w:val="0A0A0A"/>
          <w:sz w:val="29"/>
          <w:szCs w:val="29"/>
          <w:bdr w:val="none" w:sz="0" w:space="0" w:color="auto" w:frame="1"/>
        </w:rPr>
        <w:t>– Quy định quyền và nghĩa vụ, trách nhiệm của các bên trong </w:t>
      </w:r>
      <w:r w:rsidRPr="001B2FCA">
        <w:rPr>
          <w:rFonts w:ascii="Arial" w:eastAsia="Times New Roman" w:hAnsi="Arial" w:cs="Arial"/>
          <w:b/>
          <w:bCs/>
          <w:color w:val="0A0A0A"/>
          <w:sz w:val="29"/>
          <w:szCs w:val="29"/>
        </w:rPr>
        <w:t>an toàn</w:t>
      </w:r>
      <w:r w:rsidRPr="001B2FCA">
        <w:rPr>
          <w:rFonts w:ascii="Arial" w:eastAsia="Times New Roman" w:hAnsi="Arial" w:cs="Arial"/>
          <w:color w:val="0A0A0A"/>
          <w:sz w:val="29"/>
          <w:szCs w:val="29"/>
        </w:rPr>
        <w:t> </w:t>
      </w:r>
      <w:r w:rsidRPr="001B2FCA">
        <w:rPr>
          <w:rFonts w:ascii="Arial" w:eastAsia="Times New Roman" w:hAnsi="Arial" w:cs="Arial"/>
          <w:b/>
          <w:bCs/>
          <w:color w:val="0A0A0A"/>
          <w:sz w:val="29"/>
          <w:szCs w:val="29"/>
        </w:rPr>
        <w:t>thực phẩm</w:t>
      </w:r>
      <w:r w:rsidRPr="001B2FCA">
        <w:rPr>
          <w:rFonts w:ascii="Arial" w:eastAsia="Times New Roman" w:hAnsi="Arial" w:cs="Arial"/>
          <w:color w:val="0A0A0A"/>
          <w:sz w:val="29"/>
          <w:szCs w:val="29"/>
          <w:bdr w:val="none" w:sz="0" w:space="0" w:color="auto" w:frame="1"/>
        </w:rPr>
        <w:t> bao gồm: chủ các cơ sở sản xuất kinh doanh, các cơ quan nhà nước có thẩm quyền quản lý,…</w:t>
      </w:r>
    </w:p>
    <w:p w:rsidR="001B2FCA" w:rsidRPr="001B2FCA" w:rsidRDefault="001B2FCA" w:rsidP="001B2F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9"/>
          <w:szCs w:val="29"/>
        </w:rPr>
      </w:pPr>
      <w:r w:rsidRPr="001B2FCA">
        <w:rPr>
          <w:rFonts w:ascii="Arial" w:eastAsia="Times New Roman" w:hAnsi="Arial" w:cs="Arial"/>
          <w:color w:val="0A0A0A"/>
          <w:sz w:val="29"/>
          <w:szCs w:val="29"/>
          <w:bdr w:val="none" w:sz="0" w:space="0" w:color="auto" w:frame="1"/>
        </w:rPr>
        <w:t>– Quy định các thủ tục liên quan đến công tác đảm bảo </w:t>
      </w:r>
      <w:hyperlink r:id="rId6" w:history="1">
        <w:r w:rsidRPr="001B2FCA">
          <w:rPr>
            <w:rFonts w:ascii="Arial" w:eastAsia="Times New Roman" w:hAnsi="Arial" w:cs="Arial"/>
            <w:b/>
            <w:bCs/>
            <w:color w:val="1E72BD"/>
            <w:sz w:val="29"/>
            <w:szCs w:val="29"/>
            <w:u w:val="single"/>
            <w:bdr w:val="none" w:sz="0" w:space="0" w:color="auto" w:frame="1"/>
          </w:rPr>
          <w:t>an toàn</w:t>
        </w:r>
        <w:r w:rsidRPr="001B2FCA">
          <w:rPr>
            <w:rFonts w:ascii="Arial" w:eastAsia="Times New Roman" w:hAnsi="Arial" w:cs="Arial"/>
            <w:color w:val="1E72BD"/>
            <w:sz w:val="29"/>
            <w:szCs w:val="29"/>
            <w:u w:val="single"/>
            <w:bdr w:val="none" w:sz="0" w:space="0" w:color="auto" w:frame="1"/>
          </w:rPr>
          <w:t> </w:t>
        </w:r>
        <w:r w:rsidRPr="001B2FCA">
          <w:rPr>
            <w:rFonts w:ascii="Arial" w:eastAsia="Times New Roman" w:hAnsi="Arial" w:cs="Arial"/>
            <w:b/>
            <w:bCs/>
            <w:color w:val="1E72BD"/>
            <w:sz w:val="29"/>
            <w:szCs w:val="29"/>
            <w:u w:val="single"/>
            <w:bdr w:val="none" w:sz="0" w:space="0" w:color="auto" w:frame="1"/>
          </w:rPr>
          <w:t>thực phẩm</w:t>
        </w:r>
      </w:hyperlink>
    </w:p>
    <w:p w:rsidR="001B2FCA" w:rsidRPr="001B2FCA" w:rsidRDefault="001B2FCA" w:rsidP="001B2F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9"/>
          <w:szCs w:val="29"/>
        </w:rPr>
      </w:pPr>
      <w:r w:rsidRPr="001B2FCA">
        <w:rPr>
          <w:rFonts w:ascii="Arial" w:eastAsia="Times New Roman" w:hAnsi="Arial" w:cs="Arial"/>
          <w:color w:val="0A0A0A"/>
          <w:sz w:val="29"/>
          <w:szCs w:val="29"/>
          <w:bdr w:val="none" w:sz="0" w:space="0" w:color="auto" w:frame="1"/>
        </w:rPr>
        <w:t>– Quy định các biểu mẫu được sử dụng khi thực hiện các thủ tục </w:t>
      </w:r>
      <w:r w:rsidRPr="001B2FCA">
        <w:rPr>
          <w:rFonts w:ascii="Arial" w:eastAsia="Times New Roman" w:hAnsi="Arial" w:cs="Arial"/>
          <w:b/>
          <w:bCs/>
          <w:color w:val="0A0A0A"/>
          <w:sz w:val="29"/>
          <w:szCs w:val="29"/>
        </w:rPr>
        <w:t>về</w:t>
      </w:r>
      <w:r w:rsidRPr="001B2FCA">
        <w:rPr>
          <w:rFonts w:ascii="Arial" w:eastAsia="Times New Roman" w:hAnsi="Arial" w:cs="Arial"/>
          <w:color w:val="0A0A0A"/>
          <w:sz w:val="29"/>
          <w:szCs w:val="29"/>
        </w:rPr>
        <w:t> </w:t>
      </w:r>
      <w:r w:rsidRPr="001B2FCA">
        <w:rPr>
          <w:rFonts w:ascii="Arial" w:eastAsia="Times New Roman" w:hAnsi="Arial" w:cs="Arial"/>
          <w:b/>
          <w:bCs/>
          <w:color w:val="0A0A0A"/>
          <w:sz w:val="29"/>
          <w:szCs w:val="29"/>
        </w:rPr>
        <w:t>an toàn</w:t>
      </w:r>
      <w:r w:rsidRPr="001B2FCA">
        <w:rPr>
          <w:rFonts w:ascii="Arial" w:eastAsia="Times New Roman" w:hAnsi="Arial" w:cs="Arial"/>
          <w:color w:val="0A0A0A"/>
          <w:sz w:val="29"/>
          <w:szCs w:val="29"/>
          <w:bdr w:val="none" w:sz="0" w:space="0" w:color="auto" w:frame="1"/>
        </w:rPr>
        <w:t> vệ sinh </w:t>
      </w:r>
      <w:r w:rsidRPr="001B2FCA">
        <w:rPr>
          <w:rFonts w:ascii="Arial" w:eastAsia="Times New Roman" w:hAnsi="Arial" w:cs="Arial"/>
          <w:b/>
          <w:bCs/>
          <w:color w:val="0A0A0A"/>
          <w:sz w:val="29"/>
          <w:szCs w:val="29"/>
        </w:rPr>
        <w:t>thực phẩm</w:t>
      </w:r>
    </w:p>
    <w:p w:rsidR="005B3986" w:rsidRDefault="005B3986" w:rsidP="001B2FCA">
      <w:pPr>
        <w:jc w:val="both"/>
      </w:pPr>
    </w:p>
    <w:sectPr w:rsidR="005B3986" w:rsidSect="00E91E4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CA"/>
    <w:rsid w:val="001B2FCA"/>
    <w:rsid w:val="005B3986"/>
    <w:rsid w:val="00E9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35DB1"/>
  <w15:chartTrackingRefBased/>
  <w15:docId w15:val="{48673D26-085C-422E-A2AA-B70DF87B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2FC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B2FC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2FCA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B2FCA"/>
    <w:rPr>
      <w:rFonts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B2FC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1B2FC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B2F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0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45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5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955409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30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89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97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0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9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3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7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cgroup.vn/thu-tuc-cap-giay-chung-nhan-an-toan-thuc-pham/" TargetMode="External"/><Relationship Id="rId5" Type="http://schemas.openxmlformats.org/officeDocument/2006/relationships/hyperlink" Target="https://vfa.gov.vn/van-ban/thong-tu-so-752020tt-btc-ngay-1282020-thong-tu-sua-doi-bo-sung-mot-so-dieu-cua-thong-tu-so-2792016tt-btc-ngay-14112016-cua-bo-truong-bo-tai-chinh-quy-dinh-muc-thu-che-do-thu-nop-quan-ly-va-su-dung-phi-trong-cong-tac-an-toan-ve-sinh-thuc-pham.html" TargetMode="External"/><Relationship Id="rId4" Type="http://schemas.openxmlformats.org/officeDocument/2006/relationships/hyperlink" Target="https://accgroup.vn/thu-tuc-cap-giay-chung-nhan-an-toan-thuc-ph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2021-05-04T15:07:00Z</dcterms:created>
  <dcterms:modified xsi:type="dcterms:W3CDTF">2021-05-04T15:12:00Z</dcterms:modified>
</cp:coreProperties>
</file>